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EE8" w:rsidRPr="00A92EE8" w:rsidRDefault="00A92EE8" w:rsidP="00A92EE8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b/>
          <w:bCs/>
          <w:color w:val="4E4E4E"/>
          <w:sz w:val="28"/>
          <w:szCs w:val="28"/>
          <w:lang w:eastAsia="ru-RU"/>
        </w:rPr>
        <w:t xml:space="preserve">РАСЧЕТ ТЕХНОЛОГИЧЕСКИХ </w:t>
      </w:r>
      <w:proofErr w:type="gramStart"/>
      <w:r w:rsidRPr="00A92EE8">
        <w:rPr>
          <w:rFonts w:ascii="Times New Roman" w:eastAsia="Times New Roman" w:hAnsi="Times New Roman" w:cs="Times New Roman"/>
          <w:b/>
          <w:bCs/>
          <w:color w:val="4E4E4E"/>
          <w:sz w:val="28"/>
          <w:szCs w:val="28"/>
          <w:lang w:eastAsia="ru-RU"/>
        </w:rPr>
        <w:t>ПАРАМЕТРОВ РАБОТЫ СООРУЖЕНИЙ БИОЛОГИЧЕСКОЙ ОЧИСТКИ СТОЧНЫХ ВОД</w:t>
      </w:r>
      <w:proofErr w:type="gramEnd"/>
    </w:p>
    <w:p w:rsidR="00A92EE8" w:rsidRPr="00A92EE8" w:rsidRDefault="00A92EE8" w:rsidP="00A92EE8">
      <w:pPr>
        <w:shd w:val="clear" w:color="auto" w:fill="FFFFFF"/>
        <w:spacing w:after="345" w:line="285" w:lineRule="atLeast"/>
        <w:ind w:firstLine="567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Обеспечение требований к качеству очищенных вод требует ежедневного контроля со стороны эксплуатационных служб в отношении не только технического состояния сооружений, но и технологических параметров их работы. Ниже приведены основные технологические параметры работы сооружений биологической очистки сточных вод, реализующих технологии удаления азота и фосфора, и примеры их расчета.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firstLine="567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В ходе технологического контроля рассматриваемых очистных сооружений мы рекомендуем определять следующие расчетные параметры: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1) нагрузка по поступающим загрязнениям:</w:t>
      </w:r>
    </w:p>
    <w:p w:rsidR="00A92EE8" w:rsidRPr="00A92EE8" w:rsidRDefault="00A92EE8" w:rsidP="00A92EE8">
      <w:pPr>
        <w:numPr>
          <w:ilvl w:val="0"/>
          <w:numId w:val="1"/>
        </w:num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нагрузка по органическим соединениям (БПК</w:t>
      </w: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bdr w:val="none" w:sz="0" w:space="0" w:color="auto" w:frame="1"/>
          <w:vertAlign w:val="subscript"/>
          <w:lang w:eastAsia="ru-RU"/>
        </w:rPr>
        <w:t>5</w:t>
      </w: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 xml:space="preserve">, </w:t>
      </w:r>
      <w:proofErr w:type="spellStart"/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БПК</w:t>
      </w: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bdr w:val="none" w:sz="0" w:space="0" w:color="auto" w:frame="1"/>
          <w:vertAlign w:val="subscript"/>
          <w:lang w:eastAsia="ru-RU"/>
        </w:rPr>
        <w:t>полн</w:t>
      </w:r>
      <w:proofErr w:type="spellEnd"/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, ХПК);</w:t>
      </w:r>
    </w:p>
    <w:p w:rsidR="00A92EE8" w:rsidRPr="00A92EE8" w:rsidRDefault="00A92EE8" w:rsidP="00A92EE8">
      <w:pPr>
        <w:numPr>
          <w:ilvl w:val="0"/>
          <w:numId w:val="1"/>
        </w:num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нагрузка по аммонийному азоту и/или общему азоту;</w:t>
      </w:r>
    </w:p>
    <w:p w:rsidR="00A92EE8" w:rsidRPr="00A92EE8" w:rsidRDefault="00A92EE8" w:rsidP="00A92EE8">
      <w:pPr>
        <w:numPr>
          <w:ilvl w:val="0"/>
          <w:numId w:val="1"/>
        </w:num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нагрузка по фосфору фосфатов и/или общему фосфору;</w:t>
      </w:r>
    </w:p>
    <w:p w:rsidR="00A92EE8" w:rsidRPr="00A92EE8" w:rsidRDefault="00A92EE8" w:rsidP="00A92EE8">
      <w:pPr>
        <w:numPr>
          <w:ilvl w:val="0"/>
          <w:numId w:val="1"/>
        </w:num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нагрузка по взвешенным веществам;</w:t>
      </w:r>
    </w:p>
    <w:p w:rsidR="00A92EE8" w:rsidRPr="00A92EE8" w:rsidRDefault="00A92EE8" w:rsidP="00A92EE8">
      <w:pPr>
        <w:numPr>
          <w:ilvl w:val="0"/>
          <w:numId w:val="1"/>
        </w:numPr>
        <w:shd w:val="clear" w:color="auto" w:fill="FFFFFF"/>
        <w:spacing w:after="0" w:line="240" w:lineRule="auto"/>
        <w:ind w:left="600"/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4E4E4E"/>
          <w:sz w:val="28"/>
          <w:szCs w:val="28"/>
          <w:lang w:eastAsia="ru-RU"/>
        </w:rPr>
        <w:t>нагрузка по специфическим загрязнениям;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2) гидравлическое время пребывания сточной воды в сооружении;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3) отношение количества питательных веществ, поступающих со сточными водами, к массе микроорганизмов активного ила (нагрузка на активный ил);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4) общий возраст активного ила, аэробный возраст активного ила;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5) эффективность удаления загрязняющих веществ;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6) соотношение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БПК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полн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:N:P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b/>
          <w:bCs/>
          <w:color w:val="5A5A5A"/>
          <w:sz w:val="28"/>
          <w:szCs w:val="28"/>
          <w:bdr w:val="none" w:sz="0" w:space="0" w:color="auto" w:frame="1"/>
          <w:lang w:eastAsia="ru-RU"/>
        </w:rPr>
        <w:t>1. 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Нагрузка по рассматриваемым загрязнениям M(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S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i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) (кг/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.) определяется по формуле: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F3031E5" wp14:editId="26F70C6A">
            <wp:extent cx="2377440" cy="445273"/>
            <wp:effectExtent l="0" t="0" r="3810" b="0"/>
            <wp:docPr id="11" name="Рисунок 11" descr="D:\От Валова А.А\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От Валова А.А\89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44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2EE8">
        <w:rPr>
          <w:rFonts w:ascii="Times New Roman" w:eastAsia="Times New Roman" w:hAnsi="Times New Roman" w:cs="Times New Roman"/>
          <w:noProof/>
          <w:color w:val="5A5A5A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6EA3F979" wp14:editId="23A6954A">
                <wp:extent cx="302260" cy="302260"/>
                <wp:effectExtent l="0" t="0" r="0" b="0"/>
                <wp:docPr id="10" name="Прямоугольник 10" descr="https://www.profiz.ru/upl/pictures/%E2%84%96%206%20(42)/89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https://www.profiz.ru/upl/pictures/%E2%84%96%206%20(42)/89.gif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" filled="f" stroked="f">
                <o:lock v:ext="edit" aspectratio="t"/>
                <w10:anchorlock/>
              </v:rect>
            </w:pict>
          </mc:Fallback>
        </mc:AlternateConten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(3)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где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S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i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— концентрация рассматриваемого загрязнения, мг/л или г/м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— расход сточных вод, поступающих на биологическую очистку,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</w:t>
      </w:r>
    </w:p>
    <w:p w:rsidR="00A92EE8" w:rsidRDefault="00A92EE8" w:rsidP="00A92EE8">
      <w:pPr>
        <w:shd w:val="clear" w:color="auto" w:fill="FFFFFF"/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</w:t>
      </w:r>
      <w:r w:rsidRPr="00A92EE8">
        <w:rPr>
          <w:rFonts w:ascii="Times New Roman" w:eastAsia="Times New Roman" w:hAnsi="Times New Roman" w:cs="Times New Roman"/>
          <w:b/>
          <w:bCs/>
          <w:color w:val="5A5A5A"/>
          <w:sz w:val="28"/>
          <w:szCs w:val="28"/>
          <w:bdr w:val="none" w:sz="0" w:space="0" w:color="auto" w:frame="1"/>
          <w:lang w:eastAsia="ru-RU"/>
        </w:rPr>
        <w:t>ПРИМЕР 1</w:t>
      </w:r>
      <w:proofErr w:type="gram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br/>
        <w:t>Р</w:t>
      </w:r>
      <w:proofErr w:type="gram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ассчитаем нагрузку по взвешенным веществам при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S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c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= 135 мг/л;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15 080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.:</w:t>
      </w:r>
    </w:p>
    <w:p w:rsidR="00A92EE8" w:rsidRPr="00A92EE8" w:rsidRDefault="00A92EE8" w:rsidP="0028316B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BFA7CA7" wp14:editId="538CFE0A">
            <wp:extent cx="3807604" cy="389614"/>
            <wp:effectExtent l="0" t="0" r="2540" b="0"/>
            <wp:docPr id="14" name="Рисунок 14" descr="D:\От Валова А.А\8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От Валова А.А\89_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38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316B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                                                              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Гидравлическое время пребывания сточной воды в сооружении  представляет собой отношение объема сооружения к расходу поступающих в него сточных вод.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lastRenderedPageBreak/>
        <w:t xml:space="preserve">Для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аэротенков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гидравлическое время пребывания сточной воды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t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at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(ч) определяется по формуле: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369489" cy="429371"/>
            <wp:effectExtent l="0" t="0" r="0" b="8890"/>
            <wp:docPr id="15" name="Рисунок 15" descr="D:\От Валова А.А\90_1 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От Валова А.А\90_1 (1)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43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где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V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— объем одного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аэротенка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,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N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— количество </w:t>
      </w:r>
      <w:proofErr w:type="gram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работающих</w:t>
      </w:r>
      <w:proofErr w:type="gram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аэротенков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— расход сточных вод, поступающих на биологическую очистку,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</w:t>
      </w:r>
      <w:r w:rsidRPr="00A92EE8">
        <w:rPr>
          <w:rFonts w:ascii="Times New Roman" w:eastAsia="Times New Roman" w:hAnsi="Times New Roman" w:cs="Times New Roman"/>
          <w:b/>
          <w:bCs/>
          <w:color w:val="5A5A5A"/>
          <w:sz w:val="28"/>
          <w:szCs w:val="28"/>
          <w:bdr w:val="none" w:sz="0" w:space="0" w:color="auto" w:frame="1"/>
          <w:lang w:eastAsia="ru-RU"/>
        </w:rPr>
        <w:t>ПРИМЕР 2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Рассчитаем гидравлическое время пребывания сточной воды в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аэротенке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при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V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18 000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N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= 4;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112 000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.: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808730" cy="524510"/>
            <wp:effectExtent l="0" t="0" r="1270" b="8890"/>
            <wp:docPr id="16" name="Рисунок 16" descr="D:\От Валова А.А\90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От Валова А.А\90_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2EE8">
        <w:rPr>
          <w:rFonts w:ascii="Times New Roman" w:eastAsia="Times New Roman" w:hAnsi="Times New Roman" w:cs="Times New Roman"/>
          <w:noProof/>
          <w:color w:val="5A5A5A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9C88F59" wp14:editId="2E302665">
                <wp:extent cx="302260" cy="302260"/>
                <wp:effectExtent l="0" t="0" r="0" b="0"/>
                <wp:docPr id="7" name="Прямоугольник 7" descr="https://www.profiz.ru/upl/pictures/%E2%84%96%206%20(42)/90_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https://www.profiz.ru/upl/pictures/%E2%84%96%206%20(42)/90_2.gif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" filled="f" stroked="f">
                <o:lock v:ext="edit" aspectratio="t"/>
                <w10:anchorlock/>
              </v:rect>
            </w:pict>
          </mc:Fallback>
        </mc:AlternateConten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Отношение количества питательных веществ, поступающих со сточными водами, к массе микроорганизмов активного ила F/M представляет собой отношение суточного количества органического субстрата, поступающего со сточными водами на биологическую очистку, к массе беззольного вещества активного ила (БВАИ), находящегося в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аэротенках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, и определяется по формуле:</w:t>
      </w:r>
    </w:p>
    <w:p w:rsidR="00A92EE8" w:rsidRPr="00A92EE8" w:rsidRDefault="00A92EE8" w:rsidP="00A92EE8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DEF11E2" wp14:editId="178DEE76">
            <wp:extent cx="3807545" cy="397565"/>
            <wp:effectExtent l="0" t="0" r="2540" b="2540"/>
            <wp:docPr id="17" name="Рисунок 17" descr="D:\От Валова А.А\90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От Валова А.А\90_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39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где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S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i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— концентрация рассматриваемого субстрата (БПК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5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,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БПК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полн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или ХПК), мг/л или г/м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— расход сточных вод, поступающих на биологическую очистку,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x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— доза активного ила в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аэротенках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(средняя по всем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аэротенкам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), г/л или кг/м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345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z — зольность ила, доли единицы;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V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— объем одного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аэротенка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,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;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ind w:left="600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N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— количество </w:t>
      </w:r>
      <w:proofErr w:type="gram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работающих</w:t>
      </w:r>
      <w:proofErr w:type="gram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аэротенков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.</w:t>
      </w:r>
    </w:p>
    <w:p w:rsidR="00A92EE8" w:rsidRPr="00A92EE8" w:rsidRDefault="00A92EE8" w:rsidP="0028316B">
      <w:pPr>
        <w:shd w:val="clear" w:color="auto" w:fill="FFFFFF"/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</w:t>
      </w:r>
      <w:r w:rsidRPr="00A92EE8">
        <w:rPr>
          <w:rFonts w:ascii="Times New Roman" w:eastAsia="Times New Roman" w:hAnsi="Times New Roman" w:cs="Times New Roman"/>
          <w:b/>
          <w:bCs/>
          <w:color w:val="5A5A5A"/>
          <w:sz w:val="28"/>
          <w:szCs w:val="28"/>
          <w:bdr w:val="none" w:sz="0" w:space="0" w:color="auto" w:frame="1"/>
          <w:lang w:eastAsia="ru-RU"/>
        </w:rPr>
        <w:t>ПРИМЕР 3</w:t>
      </w:r>
    </w:p>
    <w:p w:rsidR="00A92EE8" w:rsidRPr="00A92EE8" w:rsidRDefault="00A92EE8" w:rsidP="00A92EE8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Рассчитаем отношение количества питательных веществ, поступающих со сточными водами, к массе микроорганизмов активного ила при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S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i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(БПК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5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) = 125 мг/л;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Q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d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13 500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/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сут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.;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x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 = 3,3 г/л; z = 0,34;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V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2300 м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perscript"/>
          <w:lang w:eastAsia="ru-RU"/>
        </w:rPr>
        <w:t>3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 xml:space="preserve">; </w:t>
      </w:r>
      <w:proofErr w:type="spellStart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N</w:t>
      </w: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bdr w:val="none" w:sz="0" w:space="0" w:color="auto" w:frame="1"/>
          <w:vertAlign w:val="subscript"/>
          <w:lang w:eastAsia="ru-RU"/>
        </w:rPr>
        <w:t>aer</w:t>
      </w:r>
      <w:proofErr w:type="spellEnd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= 3:</w:t>
      </w:r>
    </w:p>
    <w:p w:rsidR="00A92EE8" w:rsidRPr="00A92EE8" w:rsidRDefault="0028316B" w:rsidP="0028316B">
      <w:pPr>
        <w:shd w:val="clear" w:color="auto" w:fill="FFFFFF"/>
        <w:spacing w:before="100" w:beforeAutospacing="1" w:after="100" w:afterAutospacing="1" w:line="285" w:lineRule="atLeast"/>
        <w:jc w:val="center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28316B">
        <w:rPr>
          <w:noProof/>
          <w:sz w:val="24"/>
          <w:szCs w:val="24"/>
          <w:lang w:eastAsia="ru-RU"/>
        </w:rPr>
        <w:drawing>
          <wp:inline distT="0" distB="0" distL="0" distR="0" wp14:anchorId="268DDDC3" wp14:editId="2B81498C">
            <wp:extent cx="4762831" cy="564543"/>
            <wp:effectExtent l="0" t="0" r="0" b="6985"/>
            <wp:docPr id="19" name="Рисунок 19" descr="D:\От Валова А.А\90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От Валова А.А\90_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56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EE8" w:rsidRPr="00A92EE8" w:rsidRDefault="00A92EE8" w:rsidP="0028316B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</w:pPr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</w:t>
      </w:r>
      <w:bookmarkStart w:id="0" w:name="_GoBack"/>
      <w:bookmarkEnd w:id="0"/>
      <w:r w:rsidRPr="00A92EE8">
        <w:rPr>
          <w:rFonts w:ascii="Times New Roman" w:eastAsia="Times New Roman" w:hAnsi="Times New Roman" w:cs="Times New Roman"/>
          <w:color w:val="5A5A5A"/>
          <w:sz w:val="28"/>
          <w:szCs w:val="28"/>
          <w:lang w:eastAsia="ru-RU"/>
        </w:rPr>
        <w:t> </w:t>
      </w:r>
    </w:p>
    <w:sectPr w:rsidR="00A92EE8" w:rsidRPr="00A92EE8" w:rsidSect="00A92EE8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06DE0"/>
    <w:multiLevelType w:val="multilevel"/>
    <w:tmpl w:val="DD98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DE"/>
    <w:rsid w:val="0028316B"/>
    <w:rsid w:val="00342C53"/>
    <w:rsid w:val="00A92EE8"/>
    <w:rsid w:val="00E1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92E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2E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9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2EE8"/>
    <w:rPr>
      <w:b/>
      <w:bCs/>
    </w:rPr>
  </w:style>
  <w:style w:type="paragraph" w:customStyle="1" w:styleId="p-space">
    <w:name w:val="p-space"/>
    <w:basedOn w:val="a"/>
    <w:rsid w:val="00A9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92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E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92E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2E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9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2EE8"/>
    <w:rPr>
      <w:b/>
      <w:bCs/>
    </w:rPr>
  </w:style>
  <w:style w:type="paragraph" w:customStyle="1" w:styleId="p-space">
    <w:name w:val="p-space"/>
    <w:basedOn w:val="a"/>
    <w:rsid w:val="00A92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92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E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0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2023-11-27T15:25:00Z</dcterms:created>
  <dcterms:modified xsi:type="dcterms:W3CDTF">2023-11-27T15:41:00Z</dcterms:modified>
</cp:coreProperties>
</file>